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85F33" w14:textId="77777777" w:rsidR="00FB79F0" w:rsidRPr="00041212" w:rsidRDefault="00ED30E1">
      <w:pPr>
        <w:rPr>
          <w:b/>
          <w:sz w:val="28"/>
          <w:szCs w:val="28"/>
        </w:rPr>
      </w:pPr>
      <w:r w:rsidRPr="00041212">
        <w:rPr>
          <w:b/>
          <w:sz w:val="28"/>
          <w:szCs w:val="28"/>
        </w:rPr>
        <w:t xml:space="preserve">Protocol for the </w:t>
      </w:r>
      <w:r w:rsidR="00351194" w:rsidRPr="00041212">
        <w:rPr>
          <w:b/>
          <w:sz w:val="28"/>
          <w:szCs w:val="28"/>
        </w:rPr>
        <w:t xml:space="preserve">Reporting </w:t>
      </w:r>
      <w:r w:rsidRPr="00041212">
        <w:rPr>
          <w:b/>
          <w:sz w:val="28"/>
          <w:szCs w:val="28"/>
        </w:rPr>
        <w:t>of Assurance Returns from Group Subsidiaries to the University Board</w:t>
      </w:r>
    </w:p>
    <w:p w14:paraId="6288F407" w14:textId="77777777" w:rsidR="0040516E" w:rsidRPr="00041212" w:rsidRDefault="0040516E" w:rsidP="0040516E">
      <w:pPr>
        <w:pStyle w:val="ListParagraph"/>
        <w:numPr>
          <w:ilvl w:val="0"/>
          <w:numId w:val="1"/>
        </w:numPr>
        <w:rPr>
          <w:b/>
        </w:rPr>
      </w:pPr>
      <w:r w:rsidRPr="00041212">
        <w:rPr>
          <w:b/>
        </w:rPr>
        <w:t>Purpose</w:t>
      </w:r>
      <w:r w:rsidR="00041212">
        <w:rPr>
          <w:b/>
        </w:rPr>
        <w:br/>
      </w:r>
    </w:p>
    <w:p w14:paraId="3B069BD7" w14:textId="77777777" w:rsidR="00FB79F0" w:rsidRDefault="00772984" w:rsidP="00FB79F0">
      <w:pPr>
        <w:pStyle w:val="ListParagraph"/>
        <w:numPr>
          <w:ilvl w:val="1"/>
          <w:numId w:val="1"/>
        </w:numPr>
      </w:pPr>
      <w:r>
        <w:t xml:space="preserve">The </w:t>
      </w:r>
      <w:r w:rsidR="00FB79F0">
        <w:t>purpose</w:t>
      </w:r>
      <w:r>
        <w:t xml:space="preserve"> of this protocol is to set out the various </w:t>
      </w:r>
      <w:r w:rsidR="00041212">
        <w:t xml:space="preserve">assurance </w:t>
      </w:r>
      <w:r>
        <w:t>reports which should be made by subsidiaries to the University to support the Group Governance process.</w:t>
      </w:r>
      <w:r w:rsidR="00041212">
        <w:br/>
      </w:r>
    </w:p>
    <w:p w14:paraId="07956525" w14:textId="54A038BC" w:rsidR="00FB79F0" w:rsidRDefault="00FB79F0" w:rsidP="00FB79F0">
      <w:pPr>
        <w:pStyle w:val="ListParagraph"/>
        <w:numPr>
          <w:ilvl w:val="1"/>
          <w:numId w:val="1"/>
        </w:numPr>
      </w:pPr>
      <w:r>
        <w:t>This prot</w:t>
      </w:r>
      <w:r w:rsidR="004D2C22">
        <w:t xml:space="preserve">ocol links to, but is separate </w:t>
      </w:r>
      <w:r>
        <w:t>from</w:t>
      </w:r>
      <w:r w:rsidR="004D2C22">
        <w:t>,</w:t>
      </w:r>
      <w:r>
        <w:t xml:space="preserve"> the Protocol for the Significant Risk and Critical Incident Notification, the Group Risk Management Policy, the management of Reportable Events to the University and as appropriate to the Office for Students (OfS)</w:t>
      </w:r>
      <w:r w:rsidR="00CC1C16">
        <w:t>;</w:t>
      </w:r>
      <w:r>
        <w:t xml:space="preserve"> and is in addition to a subsidiar</w:t>
      </w:r>
      <w:r w:rsidR="009D0A05">
        <w:t>y’</w:t>
      </w:r>
      <w:r>
        <w:t>s governing documents and any governance agreement (if any) with the University.</w:t>
      </w:r>
      <w:r w:rsidR="00041212">
        <w:br/>
      </w:r>
    </w:p>
    <w:p w14:paraId="0955EE59" w14:textId="77777777" w:rsidR="00772984" w:rsidRDefault="00772984" w:rsidP="00FB79F0">
      <w:pPr>
        <w:pStyle w:val="ListParagraph"/>
        <w:numPr>
          <w:ilvl w:val="1"/>
          <w:numId w:val="1"/>
        </w:numPr>
      </w:pPr>
      <w:r>
        <w:t xml:space="preserve">The protocol links to the 4-cycles of governance </w:t>
      </w:r>
      <w:r w:rsidR="004A3FC1">
        <w:t xml:space="preserve">reporting </w:t>
      </w:r>
      <w:r w:rsidR="00195246">
        <w:t xml:space="preserve">throughout the year </w:t>
      </w:r>
      <w:r w:rsidR="004A3FC1">
        <w:t>adopted within the University.</w:t>
      </w:r>
    </w:p>
    <w:p w14:paraId="40A57EC2" w14:textId="77777777" w:rsidR="00772984" w:rsidRDefault="00772984" w:rsidP="00772984">
      <w:pPr>
        <w:pStyle w:val="ListParagraph"/>
        <w:ind w:left="360"/>
      </w:pPr>
    </w:p>
    <w:p w14:paraId="27FCBBAF" w14:textId="77777777" w:rsidR="00FB79F0" w:rsidRPr="00041212" w:rsidRDefault="007378A3" w:rsidP="00FB79F0">
      <w:pPr>
        <w:pStyle w:val="ListParagraph"/>
        <w:numPr>
          <w:ilvl w:val="0"/>
          <w:numId w:val="1"/>
        </w:numPr>
        <w:rPr>
          <w:b/>
        </w:rPr>
      </w:pPr>
      <w:r w:rsidRPr="00041212">
        <w:rPr>
          <w:b/>
        </w:rPr>
        <w:t>Scope</w:t>
      </w:r>
      <w:r w:rsidR="00041212">
        <w:rPr>
          <w:b/>
        </w:rPr>
        <w:br/>
      </w:r>
    </w:p>
    <w:p w14:paraId="25B8EEEF" w14:textId="77777777" w:rsidR="007F1E92" w:rsidRDefault="007378A3" w:rsidP="007378A3">
      <w:pPr>
        <w:pStyle w:val="ListParagraph"/>
        <w:numPr>
          <w:ilvl w:val="1"/>
          <w:numId w:val="1"/>
        </w:numPr>
      </w:pPr>
      <w:r>
        <w:t xml:space="preserve">This protocol applies to all </w:t>
      </w:r>
      <w:r w:rsidR="00F64004" w:rsidRPr="00DF32BD">
        <w:t>m</w:t>
      </w:r>
      <w:r w:rsidR="00412C1D" w:rsidRPr="00DF32BD">
        <w:t>ajority</w:t>
      </w:r>
      <w:r w:rsidRPr="00DF32BD">
        <w:t xml:space="preserve"> owned </w:t>
      </w:r>
      <w:r>
        <w:t xml:space="preserve">subsidiaries </w:t>
      </w:r>
      <w:r w:rsidR="00DF32BD">
        <w:t xml:space="preserve">(and incorporating any of their own subsidiaries) </w:t>
      </w:r>
      <w:r>
        <w:t xml:space="preserve">within the University Group. </w:t>
      </w:r>
      <w:r w:rsidR="00041212">
        <w:br/>
      </w:r>
    </w:p>
    <w:p w14:paraId="42B30FCE" w14:textId="77777777" w:rsidR="00511E4D" w:rsidRDefault="007F1E92" w:rsidP="00511E4D">
      <w:pPr>
        <w:pStyle w:val="ListParagraph"/>
        <w:numPr>
          <w:ilvl w:val="1"/>
          <w:numId w:val="1"/>
        </w:numPr>
      </w:pPr>
      <w:r>
        <w:t>I</w:t>
      </w:r>
      <w:r w:rsidRPr="007F1E92">
        <w:t xml:space="preserve">t is not the intention that the University should replicate the </w:t>
      </w:r>
      <w:r>
        <w:t xml:space="preserve">scrutiny </w:t>
      </w:r>
      <w:r w:rsidRPr="007F1E92">
        <w:t xml:space="preserve">of the </w:t>
      </w:r>
      <w:r>
        <w:t xml:space="preserve">Board </w:t>
      </w:r>
      <w:r w:rsidR="004A3FC1" w:rsidRPr="007F1E92">
        <w:t>of the subsidiary organisation</w:t>
      </w:r>
      <w:r w:rsidR="004A3FC1">
        <w:t xml:space="preserve"> </w:t>
      </w:r>
      <w:r>
        <w:t xml:space="preserve">(and any of its </w:t>
      </w:r>
      <w:r w:rsidRPr="007F1E92">
        <w:t>Committees</w:t>
      </w:r>
      <w:r>
        <w:t>)</w:t>
      </w:r>
      <w:r w:rsidRPr="007F1E92">
        <w:t xml:space="preserve"> </w:t>
      </w:r>
      <w:r w:rsidR="00772984">
        <w:t xml:space="preserve">or to </w:t>
      </w:r>
      <w:r w:rsidR="00041212">
        <w:t>subsume</w:t>
      </w:r>
      <w:r w:rsidR="00772984">
        <w:t xml:space="preserve"> any of their responsibilities</w:t>
      </w:r>
      <w:r w:rsidRPr="007F1E92">
        <w:t xml:space="preserve">, but, in its Group role, it needs assurance that the </w:t>
      </w:r>
      <w:r>
        <w:t>reporting and governance</w:t>
      </w:r>
      <w:r w:rsidRPr="007F1E92">
        <w:t xml:space="preserve"> process</w:t>
      </w:r>
      <w:r>
        <w:t>es are</w:t>
      </w:r>
      <w:r w:rsidRPr="007F1E92">
        <w:t xml:space="preserve"> operating effectively in that organisation and that any issues are appropriately escalated to Group level</w:t>
      </w:r>
      <w:r w:rsidR="0040516E">
        <w:t xml:space="preserve"> in a timely manner</w:t>
      </w:r>
      <w:r>
        <w:t xml:space="preserve">. Therefore, the reports </w:t>
      </w:r>
      <w:r w:rsidR="00772984">
        <w:t xml:space="preserve">generally </w:t>
      </w:r>
      <w:r>
        <w:t>requ</w:t>
      </w:r>
      <w:r w:rsidR="00772984">
        <w:t>ired</w:t>
      </w:r>
      <w:r>
        <w:t xml:space="preserve"> through this protocol are summary in nature. </w:t>
      </w:r>
      <w:r w:rsidR="008D5218">
        <w:br/>
      </w:r>
    </w:p>
    <w:p w14:paraId="6A722887" w14:textId="77777777" w:rsidR="004A3FC1" w:rsidRPr="00041212" w:rsidRDefault="004A3FC1" w:rsidP="004A3FC1">
      <w:pPr>
        <w:pStyle w:val="ListParagraph"/>
        <w:numPr>
          <w:ilvl w:val="0"/>
          <w:numId w:val="1"/>
        </w:numPr>
        <w:rPr>
          <w:b/>
        </w:rPr>
      </w:pPr>
      <w:r w:rsidRPr="00041212">
        <w:rPr>
          <w:b/>
        </w:rPr>
        <w:t>Aims of the Protocol</w:t>
      </w:r>
      <w:r w:rsidR="00041212">
        <w:rPr>
          <w:b/>
        </w:rPr>
        <w:br/>
      </w:r>
    </w:p>
    <w:p w14:paraId="3889A2F4" w14:textId="77777777" w:rsidR="004A3FC1" w:rsidRDefault="004A3FC1" w:rsidP="004A3FC1">
      <w:pPr>
        <w:pStyle w:val="ListParagraph"/>
        <w:numPr>
          <w:ilvl w:val="1"/>
          <w:numId w:val="1"/>
        </w:numPr>
      </w:pPr>
      <w:r>
        <w:t xml:space="preserve">This protocol sets out the </w:t>
      </w:r>
      <w:r w:rsidR="00041212">
        <w:t xml:space="preserve">minimum set of assurance </w:t>
      </w:r>
      <w:r>
        <w:t xml:space="preserve">reports which a subsidiary should make to the University. </w:t>
      </w:r>
      <w:r w:rsidR="0076138E">
        <w:t>However, this is not a restrictive set and additional reports can be made if appropriate to the specific operating circumstances of that subsidiary.</w:t>
      </w:r>
      <w:r w:rsidR="0076138E" w:rsidRPr="0076138E">
        <w:t xml:space="preserve"> </w:t>
      </w:r>
      <w:r w:rsidR="0076138E">
        <w:t xml:space="preserve">It should be noted that </w:t>
      </w:r>
      <w:r w:rsidR="00041212">
        <w:t xml:space="preserve">proposals for </w:t>
      </w:r>
      <w:r w:rsidR="0076138E" w:rsidRPr="0076138E">
        <w:t xml:space="preserve">any new material strategic transactions </w:t>
      </w:r>
      <w:r w:rsidR="0076138E">
        <w:t xml:space="preserve">should be brought </w:t>
      </w:r>
      <w:r w:rsidR="0076138E" w:rsidRPr="0076138E">
        <w:t xml:space="preserve">for consideration </w:t>
      </w:r>
      <w:r w:rsidR="0076138E">
        <w:t xml:space="preserve">to the </w:t>
      </w:r>
      <w:r w:rsidR="0076138E" w:rsidRPr="0076138E">
        <w:t>Group Cabinet</w:t>
      </w:r>
      <w:r w:rsidR="0076138E">
        <w:t>, which will then advise of further steps</w:t>
      </w:r>
      <w:r w:rsidR="0076138E" w:rsidRPr="0076138E">
        <w:t xml:space="preserve"> </w:t>
      </w:r>
      <w:r w:rsidR="0076138E">
        <w:t xml:space="preserve">to be taken </w:t>
      </w:r>
      <w:r w:rsidR="0076138E" w:rsidRPr="0076138E">
        <w:t xml:space="preserve">before </w:t>
      </w:r>
      <w:r w:rsidR="0076138E">
        <w:t xml:space="preserve">any </w:t>
      </w:r>
      <w:r w:rsidR="0076138E" w:rsidRPr="0076138E">
        <w:t>substantive arrangements are put in place</w:t>
      </w:r>
      <w:r w:rsidR="0076138E">
        <w:t>.</w:t>
      </w:r>
      <w:r w:rsidR="00041212">
        <w:br/>
      </w:r>
    </w:p>
    <w:p w14:paraId="133D314D" w14:textId="77777777" w:rsidR="0076138E" w:rsidRDefault="0076138E" w:rsidP="004A3FC1">
      <w:pPr>
        <w:pStyle w:val="ListParagraph"/>
        <w:numPr>
          <w:ilvl w:val="1"/>
          <w:numId w:val="1"/>
        </w:numPr>
      </w:pPr>
      <w:r>
        <w:t xml:space="preserve">The aims of the protocol </w:t>
      </w:r>
      <w:r w:rsidR="00195246">
        <w:t>are</w:t>
      </w:r>
      <w:r>
        <w:t xml:space="preserve"> to enable the University and its subsidiaries to:</w:t>
      </w:r>
    </w:p>
    <w:p w14:paraId="2D991577" w14:textId="17A8298C" w:rsidR="0076138E" w:rsidRDefault="0076138E" w:rsidP="0076138E">
      <w:pPr>
        <w:pStyle w:val="ListParagraph"/>
        <w:numPr>
          <w:ilvl w:val="2"/>
          <w:numId w:val="1"/>
        </w:numPr>
      </w:pPr>
      <w:r>
        <w:t xml:space="preserve">Facilitate </w:t>
      </w:r>
      <w:r w:rsidR="00450477">
        <w:t>reporting</w:t>
      </w:r>
      <w:r>
        <w:t xml:space="preserve"> in a transparent manner;</w:t>
      </w:r>
    </w:p>
    <w:p w14:paraId="64D93C70" w14:textId="19AB71C3" w:rsidR="0076138E" w:rsidRDefault="00450477" w:rsidP="0076138E">
      <w:pPr>
        <w:pStyle w:val="ListParagraph"/>
        <w:numPr>
          <w:ilvl w:val="2"/>
          <w:numId w:val="1"/>
        </w:numPr>
      </w:pPr>
      <w:r>
        <w:t xml:space="preserve">Provide a consistent structure to enable </w:t>
      </w:r>
      <w:r w:rsidR="0076138E">
        <w:t xml:space="preserve">issues </w:t>
      </w:r>
      <w:r>
        <w:t xml:space="preserve">to </w:t>
      </w:r>
      <w:r w:rsidR="0076138E">
        <w:t>be escalated as early as practicable;</w:t>
      </w:r>
    </w:p>
    <w:p w14:paraId="7CF07617" w14:textId="057B93D1" w:rsidR="0076138E" w:rsidRDefault="0076138E" w:rsidP="0076138E">
      <w:pPr>
        <w:pStyle w:val="ListParagraph"/>
        <w:numPr>
          <w:ilvl w:val="2"/>
          <w:numId w:val="1"/>
        </w:numPr>
      </w:pPr>
      <w:r>
        <w:t xml:space="preserve">Provide clarity and </w:t>
      </w:r>
      <w:r w:rsidR="00450477">
        <w:t xml:space="preserve">a common </w:t>
      </w:r>
      <w:r>
        <w:t xml:space="preserve">structure to enable </w:t>
      </w:r>
      <w:r w:rsidR="0040516E">
        <w:t xml:space="preserve">systematic </w:t>
      </w:r>
      <w:r>
        <w:t>reporting</w:t>
      </w:r>
      <w:r w:rsidR="0040516E">
        <w:t>;</w:t>
      </w:r>
    </w:p>
    <w:p w14:paraId="2FEF55A7" w14:textId="05A3E940" w:rsidR="0040516E" w:rsidRDefault="0040516E" w:rsidP="0076138E">
      <w:pPr>
        <w:pStyle w:val="ListParagraph"/>
        <w:numPr>
          <w:ilvl w:val="2"/>
          <w:numId w:val="1"/>
        </w:numPr>
      </w:pPr>
      <w:r>
        <w:t xml:space="preserve">Minimise demands by </w:t>
      </w:r>
      <w:r w:rsidR="00195246">
        <w:t>recommending</w:t>
      </w:r>
      <w:r>
        <w:t xml:space="preserve"> </w:t>
      </w:r>
      <w:r w:rsidR="00C8109A">
        <w:t xml:space="preserve">the adoption of </w:t>
      </w:r>
      <w:r>
        <w:t>common structures and formats.</w:t>
      </w:r>
      <w:r w:rsidR="00041212">
        <w:br/>
      </w:r>
    </w:p>
    <w:p w14:paraId="0BB5C6E8" w14:textId="77777777" w:rsidR="004A3FC1" w:rsidRDefault="004A3FC1" w:rsidP="00511E4D">
      <w:pPr>
        <w:pStyle w:val="ListParagraph"/>
        <w:numPr>
          <w:ilvl w:val="1"/>
          <w:numId w:val="1"/>
        </w:numPr>
      </w:pPr>
      <w:r>
        <w:t xml:space="preserve">The protocol is also designed to </w:t>
      </w:r>
      <w:r w:rsidR="00195246">
        <w:t>encourage</w:t>
      </w:r>
      <w:r>
        <w:t xml:space="preserve"> the </w:t>
      </w:r>
      <w:r w:rsidR="00195246">
        <w:t>communication</w:t>
      </w:r>
      <w:r>
        <w:t xml:space="preserve"> of good practice amongst the entities, including the benefits of being part of the Group structure.</w:t>
      </w:r>
      <w:r w:rsidR="00041212">
        <w:br/>
      </w:r>
    </w:p>
    <w:p w14:paraId="579C6096" w14:textId="77777777" w:rsidR="0040516E" w:rsidRDefault="0040516E" w:rsidP="00511E4D">
      <w:pPr>
        <w:pStyle w:val="ListParagraph"/>
        <w:numPr>
          <w:ilvl w:val="1"/>
          <w:numId w:val="1"/>
        </w:numPr>
      </w:pPr>
      <w:r>
        <w:t>The protocol is not static and will be amended from time to time based upon feedback received and as circumstances develop.</w:t>
      </w:r>
      <w:r w:rsidR="008D5218">
        <w:br/>
      </w:r>
    </w:p>
    <w:p w14:paraId="25323E13" w14:textId="77777777" w:rsidR="008D5218" w:rsidRPr="00041212" w:rsidRDefault="0040516E" w:rsidP="0040516E">
      <w:pPr>
        <w:pStyle w:val="ListParagraph"/>
        <w:numPr>
          <w:ilvl w:val="0"/>
          <w:numId w:val="1"/>
        </w:numPr>
        <w:rPr>
          <w:b/>
        </w:rPr>
      </w:pPr>
      <w:r w:rsidRPr="00041212">
        <w:rPr>
          <w:b/>
        </w:rPr>
        <w:lastRenderedPageBreak/>
        <w:t>Procedure</w:t>
      </w:r>
      <w:r w:rsidR="00041212" w:rsidRPr="00041212">
        <w:rPr>
          <w:b/>
        </w:rPr>
        <w:br/>
      </w:r>
    </w:p>
    <w:p w14:paraId="138421BE" w14:textId="77777777" w:rsidR="0040516E" w:rsidRDefault="008D5218" w:rsidP="008D5218">
      <w:pPr>
        <w:pStyle w:val="ListParagraph"/>
        <w:numPr>
          <w:ilvl w:val="1"/>
          <w:numId w:val="1"/>
        </w:numPr>
      </w:pPr>
      <w:r>
        <w:t xml:space="preserve">The table below identifies the various returns required and the frequency of when they should be made. It identifies a primary (and in case of their absence, a secondary) recipient – should both </w:t>
      </w:r>
      <w:r w:rsidR="00195246">
        <w:t xml:space="preserve">of these </w:t>
      </w:r>
      <w:r>
        <w:t>be absent</w:t>
      </w:r>
      <w:r w:rsidR="00195246">
        <w:t xml:space="preserve"> for a period</w:t>
      </w:r>
      <w:r>
        <w:t xml:space="preserve">, the return should </w:t>
      </w:r>
      <w:r w:rsidR="00195246">
        <w:t xml:space="preserve">then </w:t>
      </w:r>
      <w:r>
        <w:t>be made to the University Registrar.</w:t>
      </w:r>
    </w:p>
    <w:p w14:paraId="4F0F2A66" w14:textId="77777777" w:rsidR="00511E4D" w:rsidRDefault="00511E4D" w:rsidP="00511E4D"/>
    <w:tbl>
      <w:tblPr>
        <w:tblStyle w:val="TableGrid"/>
        <w:tblW w:w="0" w:type="auto"/>
        <w:tblLook w:val="04A0" w:firstRow="1" w:lastRow="0" w:firstColumn="1" w:lastColumn="0" w:noHBand="0" w:noVBand="1"/>
      </w:tblPr>
      <w:tblGrid>
        <w:gridCol w:w="1488"/>
        <w:gridCol w:w="2243"/>
        <w:gridCol w:w="2339"/>
        <w:gridCol w:w="2946"/>
      </w:tblGrid>
      <w:tr w:rsidR="008D5218" w14:paraId="4AAA8362" w14:textId="77777777" w:rsidTr="008D5218">
        <w:tc>
          <w:tcPr>
            <w:tcW w:w="1488" w:type="dxa"/>
          </w:tcPr>
          <w:p w14:paraId="13DA639F" w14:textId="77777777" w:rsidR="008D5218" w:rsidRPr="00195246" w:rsidRDefault="008D5218" w:rsidP="00511E4D">
            <w:pPr>
              <w:rPr>
                <w:b/>
              </w:rPr>
            </w:pPr>
            <w:r w:rsidRPr="00195246">
              <w:rPr>
                <w:b/>
              </w:rPr>
              <w:t>Return</w:t>
            </w:r>
          </w:p>
        </w:tc>
        <w:tc>
          <w:tcPr>
            <w:tcW w:w="2243" w:type="dxa"/>
          </w:tcPr>
          <w:p w14:paraId="3C2C9910" w14:textId="77777777" w:rsidR="008D5218" w:rsidRPr="00195246" w:rsidRDefault="008D5218" w:rsidP="00511E4D">
            <w:pPr>
              <w:rPr>
                <w:b/>
              </w:rPr>
            </w:pPr>
            <w:r w:rsidRPr="00195246">
              <w:rPr>
                <w:b/>
              </w:rPr>
              <w:t>Timing</w:t>
            </w:r>
          </w:p>
        </w:tc>
        <w:tc>
          <w:tcPr>
            <w:tcW w:w="2339" w:type="dxa"/>
          </w:tcPr>
          <w:p w14:paraId="15F8CD89" w14:textId="77777777" w:rsidR="008D5218" w:rsidRPr="00195246" w:rsidRDefault="008D5218" w:rsidP="00511E4D">
            <w:pPr>
              <w:rPr>
                <w:b/>
              </w:rPr>
            </w:pPr>
            <w:r w:rsidRPr="00195246">
              <w:rPr>
                <w:b/>
              </w:rPr>
              <w:t>Recipient</w:t>
            </w:r>
          </w:p>
        </w:tc>
        <w:tc>
          <w:tcPr>
            <w:tcW w:w="2946" w:type="dxa"/>
          </w:tcPr>
          <w:p w14:paraId="04F1C8A1" w14:textId="77777777" w:rsidR="008D5218" w:rsidRPr="00195246" w:rsidRDefault="008D5218" w:rsidP="00511E4D">
            <w:pPr>
              <w:rPr>
                <w:b/>
              </w:rPr>
            </w:pPr>
            <w:r w:rsidRPr="00195246">
              <w:rPr>
                <w:b/>
              </w:rPr>
              <w:t>Comments</w:t>
            </w:r>
          </w:p>
        </w:tc>
      </w:tr>
      <w:tr w:rsidR="008D5218" w14:paraId="27BD710E" w14:textId="77777777" w:rsidTr="008D5218">
        <w:tc>
          <w:tcPr>
            <w:tcW w:w="1488" w:type="dxa"/>
          </w:tcPr>
          <w:p w14:paraId="0A7F179A" w14:textId="77777777" w:rsidR="008D5218" w:rsidRDefault="008D5218" w:rsidP="00511E4D">
            <w:r>
              <w:t>Management Accounts</w:t>
            </w:r>
          </w:p>
        </w:tc>
        <w:tc>
          <w:tcPr>
            <w:tcW w:w="2243" w:type="dxa"/>
          </w:tcPr>
          <w:p w14:paraId="48B92FFC" w14:textId="77777777" w:rsidR="008D5218" w:rsidRDefault="008D5218" w:rsidP="00511E4D">
            <w:r>
              <w:t>Monthly, ideally by the third week after the month to which they relate (at the latest by the end of that month)</w:t>
            </w:r>
          </w:p>
        </w:tc>
        <w:tc>
          <w:tcPr>
            <w:tcW w:w="2339" w:type="dxa"/>
          </w:tcPr>
          <w:p w14:paraId="3337B4AC" w14:textId="77777777" w:rsidR="008D5218" w:rsidRDefault="00412C1D" w:rsidP="00511E4D">
            <w:r w:rsidRPr="00BA5D66">
              <w:t>Uni</w:t>
            </w:r>
            <w:r w:rsidR="00DF32BD" w:rsidRPr="00BA5D66">
              <w:t>versity</w:t>
            </w:r>
            <w:r w:rsidRPr="00BA5D66">
              <w:t xml:space="preserve"> Fina</w:t>
            </w:r>
            <w:r w:rsidR="00DF32BD" w:rsidRPr="00BA5D66">
              <w:t>n</w:t>
            </w:r>
            <w:r w:rsidRPr="00BA5D66">
              <w:t>cia</w:t>
            </w:r>
            <w:r w:rsidR="00DF32BD" w:rsidRPr="00BA5D66">
              <w:t>l</w:t>
            </w:r>
            <w:r w:rsidRPr="00BA5D66">
              <w:t xml:space="preserve"> Accountant</w:t>
            </w:r>
          </w:p>
          <w:p w14:paraId="7B1AEDD7" w14:textId="0EA521FF" w:rsidR="008B6F0A" w:rsidRDefault="008B6F0A" w:rsidP="008B6F0A">
            <w:r>
              <w:t>(AVC (Resources))</w:t>
            </w:r>
          </w:p>
          <w:p w14:paraId="5FF72DE1" w14:textId="7961AD06" w:rsidR="008B6F0A" w:rsidRDefault="008B6F0A" w:rsidP="00511E4D"/>
        </w:tc>
        <w:tc>
          <w:tcPr>
            <w:tcW w:w="2946" w:type="dxa"/>
          </w:tcPr>
          <w:p w14:paraId="28A7FC69" w14:textId="77777777" w:rsidR="00412C1D" w:rsidRDefault="008D5218" w:rsidP="00511E4D">
            <w:r>
              <w:t xml:space="preserve">To include </w:t>
            </w:r>
            <w:r w:rsidR="00412C1D">
              <w:t>I&amp;E (or P&amp;L</w:t>
            </w:r>
            <w:r w:rsidR="004D0418">
              <w:t xml:space="preserve"> as </w:t>
            </w:r>
            <w:r w:rsidR="00121DF9">
              <w:t>appropriate</w:t>
            </w:r>
            <w:r w:rsidR="00412C1D">
              <w:t>)</w:t>
            </w:r>
            <w:r>
              <w:t xml:space="preserve">, </w:t>
            </w:r>
            <w:r w:rsidR="00282ED2">
              <w:t>B</w:t>
            </w:r>
            <w:r w:rsidR="00412C1D">
              <w:t xml:space="preserve">alance Sheet and Cashflow to </w:t>
            </w:r>
            <w:r>
              <w:t xml:space="preserve">end of </w:t>
            </w:r>
            <w:r w:rsidR="00412C1D">
              <w:t>financial</w:t>
            </w:r>
            <w:r w:rsidR="004D0418">
              <w:t xml:space="preserve"> year</w:t>
            </w:r>
            <w:r w:rsidR="00412C1D">
              <w:t xml:space="preserve">. </w:t>
            </w:r>
          </w:p>
          <w:p w14:paraId="4F8B22A8" w14:textId="77777777" w:rsidR="008D5218" w:rsidRDefault="00412C1D" w:rsidP="00511E4D">
            <w:r>
              <w:t xml:space="preserve"> </w:t>
            </w:r>
          </w:p>
        </w:tc>
      </w:tr>
      <w:tr w:rsidR="00BA5D66" w14:paraId="4D63CF63" w14:textId="77777777" w:rsidTr="008D5218">
        <w:tc>
          <w:tcPr>
            <w:tcW w:w="1488" w:type="dxa"/>
          </w:tcPr>
          <w:p w14:paraId="29A700C0" w14:textId="77777777" w:rsidR="00BA5D66" w:rsidRDefault="00BA5D66" w:rsidP="00511E4D">
            <w:r>
              <w:t>Budgets and forecasts</w:t>
            </w:r>
          </w:p>
        </w:tc>
        <w:tc>
          <w:tcPr>
            <w:tcW w:w="2243" w:type="dxa"/>
          </w:tcPr>
          <w:p w14:paraId="06D4975A" w14:textId="77777777" w:rsidR="00BA5D66" w:rsidRDefault="00BA5D66" w:rsidP="00511E4D">
            <w:r>
              <w:t>Cycles 2 and 3</w:t>
            </w:r>
          </w:p>
        </w:tc>
        <w:tc>
          <w:tcPr>
            <w:tcW w:w="2339" w:type="dxa"/>
          </w:tcPr>
          <w:p w14:paraId="24BF03C1" w14:textId="77777777" w:rsidR="00BA5D66" w:rsidRDefault="00BA5D66" w:rsidP="00BA5D66">
            <w:r>
              <w:t>AVC (Resources)</w:t>
            </w:r>
          </w:p>
          <w:p w14:paraId="4EFFD575" w14:textId="77777777" w:rsidR="00BA5D66" w:rsidRDefault="00BA5D66" w:rsidP="00BA5D66">
            <w:r>
              <w:t>(</w:t>
            </w:r>
            <w:r w:rsidRPr="00BA5D66">
              <w:t>University Financial Accountant</w:t>
            </w:r>
            <w:r>
              <w:t>)</w:t>
            </w:r>
          </w:p>
        </w:tc>
        <w:tc>
          <w:tcPr>
            <w:tcW w:w="2946" w:type="dxa"/>
          </w:tcPr>
          <w:p w14:paraId="47ACDB3F" w14:textId="77777777" w:rsidR="00BA5D66" w:rsidRDefault="00BA5D66" w:rsidP="00511E4D">
            <w:r>
              <w:t>In-year forecasts are required part way through year and budgets prepared in spring in advance of the following year</w:t>
            </w:r>
          </w:p>
        </w:tc>
      </w:tr>
      <w:tr w:rsidR="00053C5D" w14:paraId="3479AA07" w14:textId="77777777" w:rsidTr="008D5218">
        <w:tc>
          <w:tcPr>
            <w:tcW w:w="1488" w:type="dxa"/>
          </w:tcPr>
          <w:p w14:paraId="0917D818" w14:textId="77777777" w:rsidR="00053C5D" w:rsidRDefault="00053C5D" w:rsidP="00053C5D">
            <w:r>
              <w:t>Reportable Events (RE)</w:t>
            </w:r>
          </w:p>
        </w:tc>
        <w:tc>
          <w:tcPr>
            <w:tcW w:w="2243" w:type="dxa"/>
          </w:tcPr>
          <w:p w14:paraId="72C9BD00" w14:textId="77777777" w:rsidR="00053C5D" w:rsidRDefault="00053C5D" w:rsidP="00053C5D">
            <w:r>
              <w:t xml:space="preserve">Potential Reportable Events (PRE) via monthly RE Panel. </w:t>
            </w:r>
          </w:p>
        </w:tc>
        <w:tc>
          <w:tcPr>
            <w:tcW w:w="2339" w:type="dxa"/>
          </w:tcPr>
          <w:p w14:paraId="40649040" w14:textId="77777777" w:rsidR="00053C5D" w:rsidRDefault="00053C5D" w:rsidP="00053C5D">
            <w:r>
              <w:t>AVC(OfS)</w:t>
            </w:r>
          </w:p>
          <w:p w14:paraId="6CFECCC7" w14:textId="77777777" w:rsidR="00053C5D" w:rsidRDefault="00053C5D" w:rsidP="00053C5D">
            <w:r>
              <w:t>(</w:t>
            </w:r>
            <w:r w:rsidR="00412C1D" w:rsidRPr="00BA5D66">
              <w:t>AVC (T</w:t>
            </w:r>
            <w:r w:rsidR="00BA5D66" w:rsidRPr="00BA5D66">
              <w:t>ransformation</w:t>
            </w:r>
            <w:r w:rsidR="00412C1D" w:rsidRPr="00BA5D66">
              <w:t>)</w:t>
            </w:r>
            <w:r>
              <w:t>)</w:t>
            </w:r>
          </w:p>
        </w:tc>
        <w:tc>
          <w:tcPr>
            <w:tcW w:w="2946" w:type="dxa"/>
          </w:tcPr>
          <w:p w14:paraId="0602CCDB" w14:textId="77777777" w:rsidR="00053C5D" w:rsidRDefault="00053C5D" w:rsidP="00053C5D">
            <w:r>
              <w:t>Urgent RE must be submitted to OfS within 5 days; will be considered by R, AR, AVC(OfS), AVC(T), AVC(P)</w:t>
            </w:r>
          </w:p>
        </w:tc>
      </w:tr>
      <w:tr w:rsidR="00BA5D66" w14:paraId="25F224AA" w14:textId="77777777" w:rsidTr="008D5218">
        <w:tc>
          <w:tcPr>
            <w:tcW w:w="1488" w:type="dxa"/>
          </w:tcPr>
          <w:p w14:paraId="3A7C986C" w14:textId="77777777" w:rsidR="00BA5D66" w:rsidRDefault="00BA5D66" w:rsidP="00053C5D">
            <w:r>
              <w:t>Annual Reportable Events Report</w:t>
            </w:r>
          </w:p>
        </w:tc>
        <w:tc>
          <w:tcPr>
            <w:tcW w:w="2243" w:type="dxa"/>
          </w:tcPr>
          <w:p w14:paraId="58F044D2" w14:textId="77777777" w:rsidR="00BA5D66" w:rsidRDefault="00BA5D66" w:rsidP="00053C5D">
            <w:r>
              <w:t>Cycle 1 – initially to UoB Audit Committee</w:t>
            </w:r>
          </w:p>
        </w:tc>
        <w:tc>
          <w:tcPr>
            <w:tcW w:w="2339" w:type="dxa"/>
          </w:tcPr>
          <w:p w14:paraId="148D011C" w14:textId="77777777" w:rsidR="00BA5D66" w:rsidRDefault="00BA5D66" w:rsidP="00BA5D66">
            <w:r>
              <w:t>AVC(OfS)</w:t>
            </w:r>
          </w:p>
          <w:p w14:paraId="00705A54" w14:textId="77777777" w:rsidR="00BA5D66" w:rsidRDefault="00BA5D66" w:rsidP="00BA5D66">
            <w:r>
              <w:t>(</w:t>
            </w:r>
            <w:r w:rsidRPr="00BA5D66">
              <w:t>AVC (Transformation)</w:t>
            </w:r>
            <w:r>
              <w:t>)</w:t>
            </w:r>
          </w:p>
        </w:tc>
        <w:tc>
          <w:tcPr>
            <w:tcW w:w="2946" w:type="dxa"/>
          </w:tcPr>
          <w:p w14:paraId="7146031B" w14:textId="77777777" w:rsidR="00BA5D66" w:rsidRDefault="00BA5D66" w:rsidP="00053C5D"/>
        </w:tc>
      </w:tr>
      <w:tr w:rsidR="00053C5D" w14:paraId="1B2CE970" w14:textId="77777777" w:rsidTr="008D5218">
        <w:tc>
          <w:tcPr>
            <w:tcW w:w="1488" w:type="dxa"/>
          </w:tcPr>
          <w:p w14:paraId="55754488" w14:textId="77777777" w:rsidR="00053C5D" w:rsidRDefault="00053C5D" w:rsidP="00053C5D">
            <w:r>
              <w:t>KPI Dashboard</w:t>
            </w:r>
          </w:p>
        </w:tc>
        <w:tc>
          <w:tcPr>
            <w:tcW w:w="2243" w:type="dxa"/>
          </w:tcPr>
          <w:p w14:paraId="0ED2E6C8" w14:textId="77777777" w:rsidR="00053C5D" w:rsidRDefault="00053C5D" w:rsidP="00053C5D">
            <w:r>
              <w:t>Each cycle – initially to UoB Resources Committee</w:t>
            </w:r>
          </w:p>
        </w:tc>
        <w:tc>
          <w:tcPr>
            <w:tcW w:w="2339" w:type="dxa"/>
          </w:tcPr>
          <w:p w14:paraId="4BEC442C" w14:textId="77777777" w:rsidR="00053C5D" w:rsidRDefault="00053C5D" w:rsidP="00053C5D">
            <w:r>
              <w:t>AVC (Planning)</w:t>
            </w:r>
          </w:p>
          <w:p w14:paraId="42002AB2" w14:textId="77777777" w:rsidR="00053C5D" w:rsidRDefault="00053C5D" w:rsidP="00053C5D">
            <w:r>
              <w:t>(AVC (Resources))</w:t>
            </w:r>
          </w:p>
        </w:tc>
        <w:tc>
          <w:tcPr>
            <w:tcW w:w="2946" w:type="dxa"/>
          </w:tcPr>
          <w:p w14:paraId="1B72B8EC" w14:textId="77777777" w:rsidR="00053C5D" w:rsidRDefault="00053C5D" w:rsidP="00053C5D">
            <w:r>
              <w:t>Incorporates RAG ratings of the key financial and non-financial indicators with brief narrative to provide context</w:t>
            </w:r>
          </w:p>
        </w:tc>
      </w:tr>
      <w:tr w:rsidR="00053C5D" w14:paraId="72FDEEFB" w14:textId="77777777" w:rsidTr="008D5218">
        <w:tc>
          <w:tcPr>
            <w:tcW w:w="1488" w:type="dxa"/>
          </w:tcPr>
          <w:p w14:paraId="25042DE7" w14:textId="77777777" w:rsidR="00053C5D" w:rsidRDefault="00053C5D" w:rsidP="00053C5D">
            <w:r>
              <w:t>Risk Register</w:t>
            </w:r>
          </w:p>
        </w:tc>
        <w:tc>
          <w:tcPr>
            <w:tcW w:w="2243" w:type="dxa"/>
          </w:tcPr>
          <w:p w14:paraId="2C61C3F2" w14:textId="77777777" w:rsidR="00053C5D" w:rsidRDefault="00053C5D" w:rsidP="00053C5D">
            <w:r>
              <w:t>Each cycle – initially to UoB Audit Committee</w:t>
            </w:r>
          </w:p>
        </w:tc>
        <w:tc>
          <w:tcPr>
            <w:tcW w:w="2339" w:type="dxa"/>
          </w:tcPr>
          <w:p w14:paraId="3DA6EA43" w14:textId="77777777" w:rsidR="00053C5D" w:rsidRDefault="00053C5D" w:rsidP="00053C5D">
            <w:r>
              <w:t>AVC (Planning)</w:t>
            </w:r>
          </w:p>
          <w:p w14:paraId="4775F3E4" w14:textId="77777777" w:rsidR="00053C5D" w:rsidRDefault="00053C5D" w:rsidP="00053C5D">
            <w:r>
              <w:t>(AVC (Resources))</w:t>
            </w:r>
          </w:p>
        </w:tc>
        <w:tc>
          <w:tcPr>
            <w:tcW w:w="2946" w:type="dxa"/>
          </w:tcPr>
          <w:p w14:paraId="131A4CB8" w14:textId="77777777" w:rsidR="00053C5D" w:rsidRDefault="00053C5D" w:rsidP="00053C5D">
            <w:r>
              <w:t>Detailed register showing changes and movement, as considered by the subsidiary Board, plus single page summary</w:t>
            </w:r>
          </w:p>
        </w:tc>
      </w:tr>
      <w:tr w:rsidR="00053C5D" w14:paraId="62715398" w14:textId="77777777" w:rsidTr="008D5218">
        <w:tc>
          <w:tcPr>
            <w:tcW w:w="1488" w:type="dxa"/>
          </w:tcPr>
          <w:p w14:paraId="12C5FF9C" w14:textId="77777777" w:rsidR="00053C5D" w:rsidRDefault="00053C5D" w:rsidP="00053C5D">
            <w:r>
              <w:t>Statement of Focus / Strategic and Operational Plans</w:t>
            </w:r>
          </w:p>
        </w:tc>
        <w:tc>
          <w:tcPr>
            <w:tcW w:w="2243" w:type="dxa"/>
          </w:tcPr>
          <w:p w14:paraId="50EBB0DA" w14:textId="77777777" w:rsidR="00053C5D" w:rsidRDefault="00053C5D" w:rsidP="00053C5D">
            <w:r>
              <w:t xml:space="preserve">Plans to be submitted in Cycle 4 (initially to UoB Resources Committee) based on Statement provided from UoB (Cycle 3) </w:t>
            </w:r>
          </w:p>
        </w:tc>
        <w:tc>
          <w:tcPr>
            <w:tcW w:w="2339" w:type="dxa"/>
          </w:tcPr>
          <w:p w14:paraId="7CEC8956" w14:textId="77777777" w:rsidR="00053C5D" w:rsidRDefault="00053C5D" w:rsidP="00053C5D">
            <w:r>
              <w:t>AVC (Planning)</w:t>
            </w:r>
          </w:p>
          <w:p w14:paraId="195DA8E6" w14:textId="77777777" w:rsidR="00053C5D" w:rsidRDefault="00053C5D" w:rsidP="00053C5D">
            <w:r>
              <w:t>(AVC (Resources))</w:t>
            </w:r>
          </w:p>
        </w:tc>
        <w:tc>
          <w:tcPr>
            <w:tcW w:w="2946" w:type="dxa"/>
          </w:tcPr>
          <w:p w14:paraId="39252E63" w14:textId="77777777" w:rsidR="00053C5D" w:rsidRDefault="00053C5D" w:rsidP="00053C5D">
            <w:r>
              <w:t xml:space="preserve">Statement to be provided from UoB Board Cycle 3 to subsidiaries, to inform production of their plans, which should then be presented back in Cycle 4 </w:t>
            </w:r>
          </w:p>
        </w:tc>
      </w:tr>
      <w:tr w:rsidR="00053C5D" w14:paraId="22F0F3D5" w14:textId="77777777" w:rsidTr="008D5218">
        <w:tc>
          <w:tcPr>
            <w:tcW w:w="1488" w:type="dxa"/>
          </w:tcPr>
          <w:p w14:paraId="30A0E0EF" w14:textId="77777777" w:rsidR="00053C5D" w:rsidRDefault="00053C5D" w:rsidP="00053C5D">
            <w:r>
              <w:t>A</w:t>
            </w:r>
            <w:r w:rsidRPr="00490FA2">
              <w:t>nnual safeguarding assurance data return</w:t>
            </w:r>
          </w:p>
        </w:tc>
        <w:tc>
          <w:tcPr>
            <w:tcW w:w="2243" w:type="dxa"/>
          </w:tcPr>
          <w:p w14:paraId="26E20E30" w14:textId="77777777" w:rsidR="00053C5D" w:rsidRDefault="00053C5D" w:rsidP="00053C5D">
            <w:r>
              <w:t xml:space="preserve">Annual – to be reported to UoB Board Cycle </w:t>
            </w:r>
            <w:r w:rsidR="00897C89">
              <w:t>2</w:t>
            </w:r>
            <w:r>
              <w:t xml:space="preserve"> </w:t>
            </w:r>
          </w:p>
        </w:tc>
        <w:tc>
          <w:tcPr>
            <w:tcW w:w="2339" w:type="dxa"/>
          </w:tcPr>
          <w:p w14:paraId="4947075A" w14:textId="77777777" w:rsidR="00053C5D" w:rsidRPr="00BA5D66" w:rsidRDefault="00897C89" w:rsidP="00053C5D">
            <w:r>
              <w:t>Deputy Student Services Manager</w:t>
            </w:r>
            <w:r w:rsidR="00053C5D" w:rsidRPr="00BA5D66">
              <w:t xml:space="preserve"> </w:t>
            </w:r>
          </w:p>
          <w:p w14:paraId="44F1DF36" w14:textId="77777777" w:rsidR="00053C5D" w:rsidRDefault="00053C5D" w:rsidP="00053C5D">
            <w:r>
              <w:t>(</w:t>
            </w:r>
            <w:r w:rsidR="00412C1D">
              <w:t>AVC(T</w:t>
            </w:r>
            <w:r>
              <w:t>)</w:t>
            </w:r>
            <w:r w:rsidR="00412C1D">
              <w:t>)</w:t>
            </w:r>
          </w:p>
        </w:tc>
        <w:tc>
          <w:tcPr>
            <w:tcW w:w="2946" w:type="dxa"/>
          </w:tcPr>
          <w:p w14:paraId="0E0CFA74" w14:textId="77777777" w:rsidR="00053C5D" w:rsidRDefault="00053C5D" w:rsidP="00053C5D">
            <w:r>
              <w:t>Report based on data in the preceding full academic year</w:t>
            </w:r>
            <w:r w:rsidR="00897C89">
              <w:t>. UoB Services already captured via University report.</w:t>
            </w:r>
          </w:p>
        </w:tc>
      </w:tr>
      <w:tr w:rsidR="00053C5D" w14:paraId="6CD65FD9" w14:textId="77777777" w:rsidTr="008D5218">
        <w:tc>
          <w:tcPr>
            <w:tcW w:w="1488" w:type="dxa"/>
          </w:tcPr>
          <w:p w14:paraId="10C6F4FE" w14:textId="77777777" w:rsidR="00053C5D" w:rsidRDefault="00053C5D" w:rsidP="00053C5D">
            <w:r>
              <w:t xml:space="preserve">Annual assurances for health and safety </w:t>
            </w:r>
          </w:p>
        </w:tc>
        <w:tc>
          <w:tcPr>
            <w:tcW w:w="2243" w:type="dxa"/>
          </w:tcPr>
          <w:p w14:paraId="3BB17A1B" w14:textId="77777777" w:rsidR="00053C5D" w:rsidRDefault="00053C5D" w:rsidP="00053C5D">
            <w:r>
              <w:t xml:space="preserve">Annual – to be reported to UoB Board Cycle </w:t>
            </w:r>
            <w:r w:rsidR="00587B9B">
              <w:t>2</w:t>
            </w:r>
            <w:r>
              <w:t xml:space="preserve"> </w:t>
            </w:r>
          </w:p>
        </w:tc>
        <w:tc>
          <w:tcPr>
            <w:tcW w:w="2339" w:type="dxa"/>
          </w:tcPr>
          <w:p w14:paraId="22A642BD" w14:textId="77777777" w:rsidR="00053C5D" w:rsidRDefault="00053C5D" w:rsidP="00053C5D">
            <w:r>
              <w:t>H&amp;S M</w:t>
            </w:r>
          </w:p>
          <w:p w14:paraId="5F5B19D6" w14:textId="77777777" w:rsidR="00053C5D" w:rsidRDefault="00053C5D" w:rsidP="00053C5D">
            <w:r>
              <w:t>(</w:t>
            </w:r>
            <w:r w:rsidRPr="00BA5D66">
              <w:t>R</w:t>
            </w:r>
            <w:r>
              <w:t>)</w:t>
            </w:r>
          </w:p>
        </w:tc>
        <w:tc>
          <w:tcPr>
            <w:tcW w:w="2946" w:type="dxa"/>
          </w:tcPr>
          <w:p w14:paraId="44FB0407" w14:textId="77777777" w:rsidR="00053C5D" w:rsidRDefault="00053C5D" w:rsidP="00053C5D">
            <w:r>
              <w:t>This serves to provide assurance of management arrangements whilst recognising that the responsibility rests with the Boards of each respective entity.</w:t>
            </w:r>
          </w:p>
        </w:tc>
      </w:tr>
    </w:tbl>
    <w:p w14:paraId="772809D4" w14:textId="6F705962" w:rsidR="008D5218" w:rsidRDefault="008D5218" w:rsidP="00511E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5349"/>
      </w:tblGrid>
      <w:tr w:rsidR="00A0626F" w:rsidRPr="00F130AC" w14:paraId="06C44198" w14:textId="77777777" w:rsidTr="00FC0457">
        <w:tc>
          <w:tcPr>
            <w:tcW w:w="9138" w:type="dxa"/>
            <w:gridSpan w:val="2"/>
            <w:shd w:val="clear" w:color="auto" w:fill="auto"/>
          </w:tcPr>
          <w:p w14:paraId="50CDEB2F" w14:textId="4CA3B5F6" w:rsidR="00A0626F" w:rsidRPr="00F130AC" w:rsidRDefault="00A0626F" w:rsidP="00FC0457">
            <w:pPr>
              <w:rPr>
                <w:rFonts w:ascii="Arial" w:hAnsi="Arial" w:cs="Arial"/>
                <w:b/>
                <w:sz w:val="20"/>
                <w:u w:val="single"/>
              </w:rPr>
            </w:pPr>
            <w:r w:rsidRPr="00F130AC">
              <w:rPr>
                <w:rFonts w:ascii="Arial" w:hAnsi="Arial" w:cs="Arial"/>
                <w:b/>
                <w:sz w:val="20"/>
                <w:u w:val="single"/>
              </w:rPr>
              <w:lastRenderedPageBreak/>
              <w:t>R</w:t>
            </w:r>
            <w:r>
              <w:rPr>
                <w:rFonts w:ascii="Arial" w:hAnsi="Arial" w:cs="Arial"/>
                <w:b/>
                <w:sz w:val="20"/>
                <w:u w:val="single"/>
              </w:rPr>
              <w:t>eporting Protocol</w:t>
            </w:r>
            <w:r w:rsidRPr="00F130AC">
              <w:rPr>
                <w:rFonts w:ascii="Arial" w:hAnsi="Arial" w:cs="Arial"/>
                <w:b/>
                <w:sz w:val="20"/>
                <w:u w:val="single"/>
              </w:rPr>
              <w:t xml:space="preserve"> Control Data:</w:t>
            </w:r>
          </w:p>
        </w:tc>
      </w:tr>
      <w:tr w:rsidR="00A0626F" w:rsidRPr="00F130AC" w14:paraId="58B1A8E2" w14:textId="77777777" w:rsidTr="00FC0457">
        <w:tc>
          <w:tcPr>
            <w:tcW w:w="3708" w:type="dxa"/>
            <w:shd w:val="clear" w:color="auto" w:fill="auto"/>
          </w:tcPr>
          <w:p w14:paraId="32151DB1" w14:textId="77777777" w:rsidR="00A0626F" w:rsidRPr="00F130AC" w:rsidRDefault="00A0626F" w:rsidP="00FC0457">
            <w:pPr>
              <w:rPr>
                <w:rFonts w:ascii="Arial" w:hAnsi="Arial" w:cs="Arial"/>
                <w:sz w:val="20"/>
              </w:rPr>
            </w:pPr>
            <w:r w:rsidRPr="00F130AC">
              <w:rPr>
                <w:rFonts w:ascii="Arial" w:hAnsi="Arial" w:cs="Arial"/>
                <w:sz w:val="20"/>
              </w:rPr>
              <w:t>Version Number</w:t>
            </w:r>
          </w:p>
        </w:tc>
        <w:tc>
          <w:tcPr>
            <w:tcW w:w="5430" w:type="dxa"/>
            <w:shd w:val="clear" w:color="auto" w:fill="auto"/>
          </w:tcPr>
          <w:p w14:paraId="6F20CEFD" w14:textId="77777777" w:rsidR="00A0626F" w:rsidRPr="00F130AC" w:rsidRDefault="00A0626F" w:rsidP="00FC0457">
            <w:pPr>
              <w:rPr>
                <w:rFonts w:ascii="Arial" w:hAnsi="Arial" w:cs="Arial"/>
                <w:sz w:val="20"/>
              </w:rPr>
            </w:pPr>
            <w:r>
              <w:rPr>
                <w:rFonts w:ascii="Arial" w:hAnsi="Arial" w:cs="Arial"/>
                <w:sz w:val="20"/>
              </w:rPr>
              <w:t>V1</w:t>
            </w:r>
          </w:p>
        </w:tc>
      </w:tr>
      <w:tr w:rsidR="00A0626F" w:rsidRPr="00F130AC" w14:paraId="1380EF34" w14:textId="77777777" w:rsidTr="00FC0457">
        <w:tc>
          <w:tcPr>
            <w:tcW w:w="3708" w:type="dxa"/>
            <w:shd w:val="clear" w:color="auto" w:fill="auto"/>
          </w:tcPr>
          <w:p w14:paraId="32A8D260" w14:textId="77777777" w:rsidR="00A0626F" w:rsidRPr="00F130AC" w:rsidRDefault="00A0626F" w:rsidP="00FC0457">
            <w:pPr>
              <w:rPr>
                <w:rFonts w:ascii="Arial" w:hAnsi="Arial" w:cs="Arial"/>
                <w:sz w:val="20"/>
              </w:rPr>
            </w:pPr>
            <w:r w:rsidRPr="00F130AC">
              <w:rPr>
                <w:rFonts w:ascii="Arial" w:hAnsi="Arial" w:cs="Arial"/>
                <w:sz w:val="20"/>
              </w:rPr>
              <w:t>Version Date</w:t>
            </w:r>
          </w:p>
        </w:tc>
        <w:tc>
          <w:tcPr>
            <w:tcW w:w="5430" w:type="dxa"/>
            <w:shd w:val="clear" w:color="auto" w:fill="auto"/>
          </w:tcPr>
          <w:p w14:paraId="119B7269" w14:textId="72C5CBEC" w:rsidR="00A0626F" w:rsidRPr="00F130AC" w:rsidRDefault="00A0626F" w:rsidP="00FC0457">
            <w:pPr>
              <w:rPr>
                <w:rFonts w:ascii="Arial" w:hAnsi="Arial" w:cs="Arial"/>
                <w:sz w:val="20"/>
              </w:rPr>
            </w:pPr>
            <w:r>
              <w:rPr>
                <w:rFonts w:ascii="Arial" w:hAnsi="Arial" w:cs="Arial"/>
                <w:sz w:val="20"/>
              </w:rPr>
              <w:t>July</w:t>
            </w:r>
            <w:r w:rsidRPr="00F130AC">
              <w:rPr>
                <w:rFonts w:ascii="Arial" w:hAnsi="Arial" w:cs="Arial"/>
                <w:sz w:val="20"/>
              </w:rPr>
              <w:t xml:space="preserve"> 20</w:t>
            </w:r>
            <w:r>
              <w:rPr>
                <w:rFonts w:ascii="Arial" w:hAnsi="Arial" w:cs="Arial"/>
                <w:sz w:val="20"/>
              </w:rPr>
              <w:t>21</w:t>
            </w:r>
          </w:p>
        </w:tc>
      </w:tr>
      <w:tr w:rsidR="00A0626F" w:rsidRPr="00F130AC" w14:paraId="699CEE1A" w14:textId="77777777" w:rsidTr="00FC0457">
        <w:tc>
          <w:tcPr>
            <w:tcW w:w="3708" w:type="dxa"/>
            <w:shd w:val="clear" w:color="auto" w:fill="auto"/>
          </w:tcPr>
          <w:p w14:paraId="54655530" w14:textId="77777777" w:rsidR="00A0626F" w:rsidRPr="00F130AC" w:rsidRDefault="00A0626F" w:rsidP="00FC0457">
            <w:pPr>
              <w:rPr>
                <w:rFonts w:ascii="Arial" w:hAnsi="Arial" w:cs="Arial"/>
                <w:sz w:val="20"/>
              </w:rPr>
            </w:pPr>
            <w:r w:rsidRPr="00F130AC">
              <w:rPr>
                <w:rFonts w:ascii="Arial" w:hAnsi="Arial" w:cs="Arial"/>
                <w:sz w:val="20"/>
              </w:rPr>
              <w:t>Author</w:t>
            </w:r>
          </w:p>
        </w:tc>
        <w:tc>
          <w:tcPr>
            <w:tcW w:w="5430" w:type="dxa"/>
            <w:shd w:val="clear" w:color="auto" w:fill="auto"/>
          </w:tcPr>
          <w:p w14:paraId="4E81EE39" w14:textId="292D0ACE" w:rsidR="00A0626F" w:rsidRPr="00F130AC" w:rsidRDefault="00A0626F" w:rsidP="00FC0457">
            <w:pPr>
              <w:rPr>
                <w:rFonts w:ascii="Arial" w:hAnsi="Arial" w:cs="Arial"/>
                <w:sz w:val="20"/>
              </w:rPr>
            </w:pPr>
            <w:r w:rsidRPr="00F130AC">
              <w:rPr>
                <w:rFonts w:ascii="Arial" w:hAnsi="Arial" w:cs="Arial"/>
                <w:sz w:val="20"/>
              </w:rPr>
              <w:t>Tim Openshaw</w:t>
            </w:r>
          </w:p>
        </w:tc>
      </w:tr>
      <w:tr w:rsidR="00A0626F" w:rsidRPr="00F130AC" w14:paraId="7F2CA541" w14:textId="77777777" w:rsidTr="00FC0457">
        <w:tc>
          <w:tcPr>
            <w:tcW w:w="3708" w:type="dxa"/>
            <w:shd w:val="clear" w:color="auto" w:fill="auto"/>
          </w:tcPr>
          <w:p w14:paraId="44673CC7" w14:textId="77777777" w:rsidR="00A0626F" w:rsidRPr="00F130AC" w:rsidRDefault="00A0626F" w:rsidP="00FC0457">
            <w:pPr>
              <w:rPr>
                <w:rFonts w:ascii="Arial" w:hAnsi="Arial" w:cs="Arial"/>
                <w:sz w:val="20"/>
              </w:rPr>
            </w:pPr>
            <w:r w:rsidRPr="00F130AC">
              <w:rPr>
                <w:rFonts w:ascii="Arial" w:hAnsi="Arial" w:cs="Arial"/>
                <w:sz w:val="20"/>
              </w:rPr>
              <w:t>Responsible Post Holder</w:t>
            </w:r>
          </w:p>
        </w:tc>
        <w:tc>
          <w:tcPr>
            <w:tcW w:w="5430" w:type="dxa"/>
            <w:shd w:val="clear" w:color="auto" w:fill="auto"/>
          </w:tcPr>
          <w:p w14:paraId="47937642" w14:textId="11EE456D" w:rsidR="00A0626F" w:rsidRPr="00F130AC" w:rsidRDefault="00A0626F" w:rsidP="00FC0457">
            <w:pPr>
              <w:rPr>
                <w:rFonts w:ascii="Arial" w:hAnsi="Arial" w:cs="Arial"/>
                <w:sz w:val="20"/>
              </w:rPr>
            </w:pPr>
            <w:r>
              <w:rPr>
                <w:rFonts w:ascii="Arial" w:hAnsi="Arial" w:cs="Arial"/>
                <w:sz w:val="20"/>
              </w:rPr>
              <w:t>AVC (Planning)</w:t>
            </w:r>
          </w:p>
        </w:tc>
      </w:tr>
      <w:tr w:rsidR="00A0626F" w:rsidRPr="00F130AC" w14:paraId="049A084F" w14:textId="77777777" w:rsidTr="00FC0457">
        <w:tc>
          <w:tcPr>
            <w:tcW w:w="3708" w:type="dxa"/>
            <w:shd w:val="clear" w:color="auto" w:fill="auto"/>
          </w:tcPr>
          <w:p w14:paraId="6ECCA24D" w14:textId="77777777" w:rsidR="00A0626F" w:rsidRPr="00F130AC" w:rsidRDefault="00A0626F" w:rsidP="00FC0457">
            <w:pPr>
              <w:rPr>
                <w:rFonts w:ascii="Arial" w:hAnsi="Arial" w:cs="Arial"/>
                <w:sz w:val="20"/>
              </w:rPr>
            </w:pPr>
            <w:r w:rsidRPr="00F130AC">
              <w:rPr>
                <w:rFonts w:ascii="Arial" w:hAnsi="Arial" w:cs="Arial"/>
                <w:sz w:val="20"/>
              </w:rPr>
              <w:t>Responsibility for implementation</w:t>
            </w:r>
          </w:p>
        </w:tc>
        <w:tc>
          <w:tcPr>
            <w:tcW w:w="5430" w:type="dxa"/>
            <w:shd w:val="clear" w:color="auto" w:fill="auto"/>
          </w:tcPr>
          <w:p w14:paraId="3B7B4F32" w14:textId="12748979" w:rsidR="00A0626F" w:rsidRPr="00F130AC" w:rsidRDefault="00450477" w:rsidP="00FC0457">
            <w:pPr>
              <w:rPr>
                <w:rFonts w:ascii="Arial" w:hAnsi="Arial" w:cs="Arial"/>
                <w:sz w:val="20"/>
              </w:rPr>
            </w:pPr>
            <w:r>
              <w:rPr>
                <w:rFonts w:ascii="Arial" w:hAnsi="Arial" w:cs="Arial"/>
                <w:sz w:val="20"/>
              </w:rPr>
              <w:t>Registrar</w:t>
            </w:r>
          </w:p>
        </w:tc>
      </w:tr>
      <w:tr w:rsidR="00A0626F" w:rsidRPr="00F130AC" w14:paraId="6CDFF351" w14:textId="77777777" w:rsidTr="00FC0457">
        <w:tc>
          <w:tcPr>
            <w:tcW w:w="3708" w:type="dxa"/>
            <w:shd w:val="clear" w:color="auto" w:fill="auto"/>
          </w:tcPr>
          <w:p w14:paraId="243D7BB1" w14:textId="77777777" w:rsidR="00A0626F" w:rsidRPr="00F130AC" w:rsidRDefault="00A0626F" w:rsidP="00FC0457">
            <w:pPr>
              <w:rPr>
                <w:rFonts w:ascii="Arial" w:hAnsi="Arial" w:cs="Arial"/>
                <w:sz w:val="20"/>
              </w:rPr>
            </w:pPr>
            <w:r w:rsidRPr="00F130AC">
              <w:rPr>
                <w:rFonts w:ascii="Arial" w:hAnsi="Arial" w:cs="Arial"/>
                <w:sz w:val="20"/>
              </w:rPr>
              <w:t>Approving Body</w:t>
            </w:r>
          </w:p>
        </w:tc>
        <w:tc>
          <w:tcPr>
            <w:tcW w:w="5430" w:type="dxa"/>
            <w:shd w:val="clear" w:color="auto" w:fill="auto"/>
          </w:tcPr>
          <w:p w14:paraId="65BF0998" w14:textId="52555257" w:rsidR="00A0626F" w:rsidRPr="00F130AC" w:rsidRDefault="00A0626F" w:rsidP="00FC0457">
            <w:pPr>
              <w:rPr>
                <w:rFonts w:ascii="Arial" w:hAnsi="Arial" w:cs="Arial"/>
                <w:sz w:val="20"/>
              </w:rPr>
            </w:pPr>
            <w:r>
              <w:rPr>
                <w:rFonts w:ascii="Arial" w:hAnsi="Arial" w:cs="Arial"/>
                <w:sz w:val="20"/>
              </w:rPr>
              <w:t>Group Cabinet</w:t>
            </w:r>
          </w:p>
        </w:tc>
      </w:tr>
      <w:tr w:rsidR="00A0626F" w:rsidRPr="00F130AC" w14:paraId="4D8A7C25" w14:textId="77777777" w:rsidTr="00FC0457">
        <w:tc>
          <w:tcPr>
            <w:tcW w:w="3708" w:type="dxa"/>
            <w:shd w:val="clear" w:color="auto" w:fill="auto"/>
          </w:tcPr>
          <w:p w14:paraId="6686683A" w14:textId="77777777" w:rsidR="00A0626F" w:rsidRPr="00F130AC" w:rsidRDefault="00A0626F" w:rsidP="00FC0457">
            <w:pPr>
              <w:rPr>
                <w:rFonts w:ascii="Arial" w:hAnsi="Arial" w:cs="Arial"/>
                <w:sz w:val="20"/>
              </w:rPr>
            </w:pPr>
            <w:r w:rsidRPr="00F130AC">
              <w:rPr>
                <w:rFonts w:ascii="Arial" w:hAnsi="Arial" w:cs="Arial"/>
                <w:sz w:val="20"/>
              </w:rPr>
              <w:t>Dissemination method (eg website)</w:t>
            </w:r>
          </w:p>
        </w:tc>
        <w:tc>
          <w:tcPr>
            <w:tcW w:w="5430" w:type="dxa"/>
            <w:shd w:val="clear" w:color="auto" w:fill="auto"/>
          </w:tcPr>
          <w:p w14:paraId="7C6BC5A6" w14:textId="1BCA3F92" w:rsidR="00A0626F" w:rsidRPr="00F130AC" w:rsidRDefault="00A0626F" w:rsidP="00FC0457">
            <w:pPr>
              <w:rPr>
                <w:rFonts w:ascii="Arial" w:hAnsi="Arial" w:cs="Arial"/>
                <w:sz w:val="20"/>
              </w:rPr>
            </w:pPr>
            <w:r>
              <w:rPr>
                <w:rFonts w:ascii="Arial" w:hAnsi="Arial" w:cs="Arial"/>
                <w:sz w:val="20"/>
              </w:rPr>
              <w:t>Corporate</w:t>
            </w:r>
            <w:r w:rsidRPr="00F130AC">
              <w:rPr>
                <w:rFonts w:ascii="Arial" w:hAnsi="Arial" w:cs="Arial"/>
                <w:sz w:val="20"/>
              </w:rPr>
              <w:t xml:space="preserve"> website (controlled copy</w:t>
            </w:r>
            <w:r>
              <w:rPr>
                <w:rFonts w:ascii="Arial" w:hAnsi="Arial" w:cs="Arial"/>
                <w:sz w:val="20"/>
              </w:rPr>
              <w:t xml:space="preserve"> within University of Bolton Staff Portal</w:t>
            </w:r>
            <w:r w:rsidRPr="00F130AC">
              <w:rPr>
                <w:rFonts w:ascii="Arial" w:hAnsi="Arial" w:cs="Arial"/>
                <w:sz w:val="20"/>
              </w:rPr>
              <w:t>).</w:t>
            </w:r>
          </w:p>
        </w:tc>
      </w:tr>
      <w:tr w:rsidR="00A0626F" w:rsidRPr="00F130AC" w14:paraId="6B4FE9D2" w14:textId="77777777" w:rsidTr="00FC0457">
        <w:tc>
          <w:tcPr>
            <w:tcW w:w="3708" w:type="dxa"/>
            <w:shd w:val="clear" w:color="auto" w:fill="auto"/>
          </w:tcPr>
          <w:p w14:paraId="54C9879C" w14:textId="77777777" w:rsidR="00A0626F" w:rsidRPr="00F130AC" w:rsidRDefault="00A0626F" w:rsidP="00FC0457">
            <w:pPr>
              <w:rPr>
                <w:rFonts w:ascii="Arial" w:hAnsi="Arial" w:cs="Arial"/>
                <w:sz w:val="20"/>
              </w:rPr>
            </w:pPr>
            <w:r w:rsidRPr="00F130AC">
              <w:rPr>
                <w:rFonts w:ascii="Arial" w:hAnsi="Arial" w:cs="Arial"/>
                <w:sz w:val="20"/>
              </w:rPr>
              <w:t>Date Approved</w:t>
            </w:r>
          </w:p>
        </w:tc>
        <w:tc>
          <w:tcPr>
            <w:tcW w:w="5430" w:type="dxa"/>
            <w:shd w:val="clear" w:color="auto" w:fill="auto"/>
          </w:tcPr>
          <w:p w14:paraId="5264424A" w14:textId="27B3EAAE" w:rsidR="00A0626F" w:rsidRPr="00F130AC" w:rsidRDefault="00A0626F" w:rsidP="00FC0457">
            <w:pPr>
              <w:rPr>
                <w:rFonts w:ascii="Arial" w:hAnsi="Arial" w:cs="Arial"/>
                <w:sz w:val="20"/>
              </w:rPr>
            </w:pPr>
            <w:r>
              <w:rPr>
                <w:rFonts w:ascii="Arial" w:hAnsi="Arial" w:cs="Arial"/>
                <w:sz w:val="20"/>
              </w:rPr>
              <w:t>July 2021</w:t>
            </w:r>
          </w:p>
        </w:tc>
      </w:tr>
      <w:tr w:rsidR="00A0626F" w:rsidRPr="00F130AC" w14:paraId="590A5698" w14:textId="77777777" w:rsidTr="00FC0457">
        <w:tc>
          <w:tcPr>
            <w:tcW w:w="3708" w:type="dxa"/>
            <w:shd w:val="clear" w:color="auto" w:fill="auto"/>
          </w:tcPr>
          <w:p w14:paraId="73CA0E6E" w14:textId="77777777" w:rsidR="00A0626F" w:rsidRPr="00F130AC" w:rsidRDefault="00A0626F" w:rsidP="00FC0457">
            <w:pPr>
              <w:rPr>
                <w:rFonts w:ascii="Arial" w:hAnsi="Arial" w:cs="Arial"/>
                <w:sz w:val="20"/>
              </w:rPr>
            </w:pPr>
            <w:r w:rsidRPr="00F130AC">
              <w:rPr>
                <w:rFonts w:ascii="Arial" w:hAnsi="Arial" w:cs="Arial"/>
                <w:sz w:val="20"/>
              </w:rPr>
              <w:t>Reviewing Committee</w:t>
            </w:r>
          </w:p>
        </w:tc>
        <w:tc>
          <w:tcPr>
            <w:tcW w:w="5430" w:type="dxa"/>
            <w:shd w:val="clear" w:color="auto" w:fill="auto"/>
          </w:tcPr>
          <w:p w14:paraId="29987697" w14:textId="1DE71050" w:rsidR="00A0626F" w:rsidRPr="00F130AC" w:rsidRDefault="00450477" w:rsidP="00FC0457">
            <w:pPr>
              <w:rPr>
                <w:rFonts w:ascii="Arial" w:hAnsi="Arial" w:cs="Arial"/>
                <w:sz w:val="20"/>
              </w:rPr>
            </w:pPr>
            <w:r>
              <w:rPr>
                <w:rFonts w:ascii="Arial" w:hAnsi="Arial" w:cs="Arial"/>
                <w:sz w:val="20"/>
              </w:rPr>
              <w:t>Group Cabinet</w:t>
            </w:r>
          </w:p>
        </w:tc>
      </w:tr>
      <w:tr w:rsidR="00A0626F" w:rsidRPr="00F130AC" w14:paraId="3F094179" w14:textId="77777777" w:rsidTr="00FC0457">
        <w:tc>
          <w:tcPr>
            <w:tcW w:w="3708" w:type="dxa"/>
            <w:shd w:val="clear" w:color="auto" w:fill="auto"/>
          </w:tcPr>
          <w:p w14:paraId="7CA8F9F4" w14:textId="77777777" w:rsidR="00A0626F" w:rsidRPr="00F130AC" w:rsidRDefault="00A0626F" w:rsidP="00FC0457">
            <w:pPr>
              <w:rPr>
                <w:rFonts w:ascii="Arial" w:hAnsi="Arial" w:cs="Arial"/>
                <w:sz w:val="20"/>
              </w:rPr>
            </w:pPr>
            <w:r w:rsidRPr="00F130AC">
              <w:rPr>
                <w:rFonts w:ascii="Arial" w:hAnsi="Arial" w:cs="Arial"/>
                <w:sz w:val="20"/>
              </w:rPr>
              <w:t>Review Frequency</w:t>
            </w:r>
          </w:p>
        </w:tc>
        <w:tc>
          <w:tcPr>
            <w:tcW w:w="5430" w:type="dxa"/>
            <w:shd w:val="clear" w:color="auto" w:fill="auto"/>
          </w:tcPr>
          <w:p w14:paraId="798A05B1" w14:textId="6473C9DB" w:rsidR="00A0626F" w:rsidRPr="00F130AC" w:rsidRDefault="00A0626F" w:rsidP="00FC0457">
            <w:pPr>
              <w:rPr>
                <w:rFonts w:ascii="Arial" w:hAnsi="Arial" w:cs="Arial"/>
                <w:sz w:val="20"/>
              </w:rPr>
            </w:pPr>
            <w:r>
              <w:rPr>
                <w:rFonts w:ascii="Arial" w:hAnsi="Arial" w:cs="Arial"/>
                <w:sz w:val="20"/>
              </w:rPr>
              <w:t>Two years</w:t>
            </w:r>
          </w:p>
        </w:tc>
      </w:tr>
      <w:tr w:rsidR="00A0626F" w:rsidRPr="00F130AC" w14:paraId="2DAE0766" w14:textId="77777777" w:rsidTr="00FC0457">
        <w:tc>
          <w:tcPr>
            <w:tcW w:w="3708" w:type="dxa"/>
            <w:shd w:val="clear" w:color="auto" w:fill="auto"/>
          </w:tcPr>
          <w:p w14:paraId="6121A7A1" w14:textId="77777777" w:rsidR="00A0626F" w:rsidRPr="00F130AC" w:rsidRDefault="00A0626F" w:rsidP="00FC0457">
            <w:pPr>
              <w:rPr>
                <w:rFonts w:ascii="Arial" w:hAnsi="Arial" w:cs="Arial"/>
                <w:sz w:val="20"/>
              </w:rPr>
            </w:pPr>
            <w:r w:rsidRPr="00F130AC">
              <w:rPr>
                <w:rFonts w:ascii="Arial" w:hAnsi="Arial" w:cs="Arial"/>
                <w:sz w:val="20"/>
              </w:rPr>
              <w:t>Document History</w:t>
            </w:r>
          </w:p>
        </w:tc>
        <w:tc>
          <w:tcPr>
            <w:tcW w:w="5430" w:type="dxa"/>
            <w:shd w:val="clear" w:color="auto" w:fill="auto"/>
          </w:tcPr>
          <w:p w14:paraId="6328C22C" w14:textId="10B36B7F" w:rsidR="00A0626F" w:rsidRPr="00F130AC" w:rsidRDefault="00A0626F" w:rsidP="00FC0457">
            <w:pPr>
              <w:rPr>
                <w:rFonts w:ascii="Arial" w:hAnsi="Arial" w:cs="Arial"/>
                <w:sz w:val="20"/>
              </w:rPr>
            </w:pPr>
            <w:r>
              <w:rPr>
                <w:rFonts w:ascii="Arial" w:hAnsi="Arial" w:cs="Arial"/>
                <w:sz w:val="20"/>
              </w:rPr>
              <w:t>New protocol, based upon the model of existing practice</w:t>
            </w:r>
            <w:r w:rsidR="00450477">
              <w:rPr>
                <w:rFonts w:ascii="Arial" w:hAnsi="Arial" w:cs="Arial"/>
                <w:sz w:val="20"/>
              </w:rPr>
              <w:t xml:space="preserve"> and following consultation with Subsidiary Review Group, Executive and Cabinet</w:t>
            </w:r>
          </w:p>
        </w:tc>
      </w:tr>
      <w:tr w:rsidR="00A0626F" w:rsidRPr="00F130AC" w14:paraId="184952C1" w14:textId="77777777" w:rsidTr="00FC0457">
        <w:tc>
          <w:tcPr>
            <w:tcW w:w="3708" w:type="dxa"/>
            <w:shd w:val="clear" w:color="auto" w:fill="auto"/>
          </w:tcPr>
          <w:p w14:paraId="085E9FBC" w14:textId="77777777" w:rsidR="00A0626F" w:rsidRPr="00F130AC" w:rsidRDefault="00A0626F" w:rsidP="00FC0457">
            <w:pPr>
              <w:rPr>
                <w:rFonts w:ascii="Arial" w:hAnsi="Arial" w:cs="Arial"/>
                <w:sz w:val="20"/>
              </w:rPr>
            </w:pPr>
            <w:r w:rsidRPr="00F130AC">
              <w:rPr>
                <w:rFonts w:ascii="Arial" w:hAnsi="Arial" w:cs="Arial"/>
                <w:sz w:val="20"/>
              </w:rPr>
              <w:t>Document Location</w:t>
            </w:r>
          </w:p>
        </w:tc>
        <w:tc>
          <w:tcPr>
            <w:tcW w:w="5430" w:type="dxa"/>
            <w:shd w:val="clear" w:color="auto" w:fill="auto"/>
          </w:tcPr>
          <w:p w14:paraId="1B6BF958" w14:textId="1EC86F82" w:rsidR="00A0626F" w:rsidRPr="00F130AC" w:rsidRDefault="00E9172A" w:rsidP="00A0626F">
            <w:pPr>
              <w:rPr>
                <w:rFonts w:ascii="Arial" w:hAnsi="Arial" w:cs="Arial"/>
                <w:sz w:val="20"/>
              </w:rPr>
            </w:pPr>
            <w:hyperlink r:id="rId7" w:history="1">
              <w:r w:rsidRPr="00E9172A">
                <w:rPr>
                  <w:rStyle w:val="Hyperlink"/>
                  <w:rFonts w:ascii="Arial" w:hAnsi="Arial" w:cs="Arial"/>
                  <w:sz w:val="20"/>
                </w:rPr>
                <w:t>Documents &amp; Reports | University of Bolton</w:t>
              </w:r>
            </w:hyperlink>
            <w:bookmarkStart w:id="0" w:name="_GoBack"/>
            <w:bookmarkEnd w:id="0"/>
          </w:p>
        </w:tc>
      </w:tr>
    </w:tbl>
    <w:p w14:paraId="4421F4B2" w14:textId="65B52050" w:rsidR="00A0626F" w:rsidRDefault="00A0626F" w:rsidP="00511E4D"/>
    <w:p w14:paraId="70A57A1F" w14:textId="77777777" w:rsidR="00A0626F" w:rsidRDefault="00A0626F" w:rsidP="00511E4D"/>
    <w:sectPr w:rsidR="00A0626F" w:rsidSect="00587B9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8E791" w14:textId="77777777" w:rsidR="00513A54" w:rsidRDefault="00513A54" w:rsidP="00524BDE">
      <w:pPr>
        <w:spacing w:after="0" w:line="240" w:lineRule="auto"/>
      </w:pPr>
      <w:r>
        <w:separator/>
      </w:r>
    </w:p>
  </w:endnote>
  <w:endnote w:type="continuationSeparator" w:id="0">
    <w:p w14:paraId="0F019007" w14:textId="77777777" w:rsidR="00513A54" w:rsidRDefault="00513A54" w:rsidP="0052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CF86" w14:textId="77777777" w:rsidR="00524BDE" w:rsidRDefault="00524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C0569" w14:textId="77777777" w:rsidR="00524BDE" w:rsidRDefault="00524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F4D87" w14:textId="77777777" w:rsidR="00524BDE" w:rsidRDefault="00524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B3A8A" w14:textId="77777777" w:rsidR="00513A54" w:rsidRDefault="00513A54" w:rsidP="00524BDE">
      <w:pPr>
        <w:spacing w:after="0" w:line="240" w:lineRule="auto"/>
      </w:pPr>
      <w:r>
        <w:separator/>
      </w:r>
    </w:p>
  </w:footnote>
  <w:footnote w:type="continuationSeparator" w:id="0">
    <w:p w14:paraId="0AC5CCF9" w14:textId="77777777" w:rsidR="00513A54" w:rsidRDefault="00513A54" w:rsidP="00524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F7D6B" w14:textId="77777777" w:rsidR="00524BDE" w:rsidRDefault="00524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BC69" w14:textId="4054AA3F" w:rsidR="00524BDE" w:rsidRDefault="00524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859A6" w14:textId="77777777" w:rsidR="00524BDE" w:rsidRDefault="00524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87AAD"/>
    <w:multiLevelType w:val="multilevel"/>
    <w:tmpl w:val="9CDC47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94"/>
    <w:rsid w:val="00041212"/>
    <w:rsid w:val="00053C5D"/>
    <w:rsid w:val="000E55DD"/>
    <w:rsid w:val="00121DF9"/>
    <w:rsid w:val="00131065"/>
    <w:rsid w:val="00186F7C"/>
    <w:rsid w:val="00195246"/>
    <w:rsid w:val="0021540E"/>
    <w:rsid w:val="00234F2F"/>
    <w:rsid w:val="002370B3"/>
    <w:rsid w:val="00254327"/>
    <w:rsid w:val="00282ED2"/>
    <w:rsid w:val="002A668C"/>
    <w:rsid w:val="002B4968"/>
    <w:rsid w:val="00351194"/>
    <w:rsid w:val="0040516E"/>
    <w:rsid w:val="00412C1D"/>
    <w:rsid w:val="00450477"/>
    <w:rsid w:val="00490FA2"/>
    <w:rsid w:val="004A3FC1"/>
    <w:rsid w:val="004D0418"/>
    <w:rsid w:val="004D2C22"/>
    <w:rsid w:val="005044B8"/>
    <w:rsid w:val="00511E4D"/>
    <w:rsid w:val="00513A54"/>
    <w:rsid w:val="00524BDE"/>
    <w:rsid w:val="00587B9B"/>
    <w:rsid w:val="00592149"/>
    <w:rsid w:val="006318CC"/>
    <w:rsid w:val="007378A3"/>
    <w:rsid w:val="0076138E"/>
    <w:rsid w:val="00772984"/>
    <w:rsid w:val="00777EB6"/>
    <w:rsid w:val="00796A46"/>
    <w:rsid w:val="007A7391"/>
    <w:rsid w:val="007F1E92"/>
    <w:rsid w:val="00897C89"/>
    <w:rsid w:val="008B6F0A"/>
    <w:rsid w:val="008D5218"/>
    <w:rsid w:val="00901D8E"/>
    <w:rsid w:val="009D0A05"/>
    <w:rsid w:val="00A0626F"/>
    <w:rsid w:val="00A13F9A"/>
    <w:rsid w:val="00A45EDE"/>
    <w:rsid w:val="00AB7772"/>
    <w:rsid w:val="00AE0914"/>
    <w:rsid w:val="00B02021"/>
    <w:rsid w:val="00BA5D66"/>
    <w:rsid w:val="00BC4B84"/>
    <w:rsid w:val="00BD02EC"/>
    <w:rsid w:val="00BF1529"/>
    <w:rsid w:val="00C12DAF"/>
    <w:rsid w:val="00C8109A"/>
    <w:rsid w:val="00CC1C16"/>
    <w:rsid w:val="00D42616"/>
    <w:rsid w:val="00DB781B"/>
    <w:rsid w:val="00DF32BD"/>
    <w:rsid w:val="00E9172A"/>
    <w:rsid w:val="00EC79E6"/>
    <w:rsid w:val="00ED30E1"/>
    <w:rsid w:val="00F04A5B"/>
    <w:rsid w:val="00F64004"/>
    <w:rsid w:val="00FB7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2175D1"/>
  <w15:chartTrackingRefBased/>
  <w15:docId w15:val="{8AA1DA31-5737-4CFC-AFEC-DD8640E9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9F0"/>
    <w:pPr>
      <w:ind w:left="720"/>
      <w:contextualSpacing/>
    </w:pPr>
  </w:style>
  <w:style w:type="table" w:styleId="TableGrid">
    <w:name w:val="Table Grid"/>
    <w:basedOn w:val="TableNormal"/>
    <w:uiPriority w:val="39"/>
    <w:rsid w:val="0051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4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BDE"/>
  </w:style>
  <w:style w:type="paragraph" w:styleId="Footer">
    <w:name w:val="footer"/>
    <w:basedOn w:val="Normal"/>
    <w:link w:val="FooterChar"/>
    <w:uiPriority w:val="99"/>
    <w:unhideWhenUsed/>
    <w:rsid w:val="00524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BDE"/>
  </w:style>
  <w:style w:type="character" w:styleId="Hyperlink">
    <w:name w:val="Hyperlink"/>
    <w:rsid w:val="00A06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olton.ac.uk/governance/documents-and-repor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Openshaw, Tim</dc:creator>
  <cp:keywords/>
  <dc:description/>
  <cp:lastModifiedBy>Foster, Pat</cp:lastModifiedBy>
  <cp:revision>2</cp:revision>
  <dcterms:created xsi:type="dcterms:W3CDTF">2021-09-09T10:36:00Z</dcterms:created>
  <dcterms:modified xsi:type="dcterms:W3CDTF">2021-09-09T10:36:00Z</dcterms:modified>
</cp:coreProperties>
</file>